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ageBreakBefore w:val="0"/>
        <w:numPr>
          <w:numId w:val="0"/>
        </w:numPr>
        <w:kinsoku/>
        <w:wordWrap/>
        <w:overflowPunct/>
        <w:topLinePunct w:val="0"/>
        <w:bidi w:val="0"/>
        <w:spacing w:before="159" w:beforeLines="50" w:after="159" w:afterLines="50" w:line="360" w:lineRule="auto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采购</w:t>
      </w:r>
      <w:r>
        <w:rPr>
          <w:rFonts w:hint="eastAsia" w:ascii="宋体" w:hAnsi="宋体" w:eastAsia="宋体" w:cs="宋体"/>
          <w:sz w:val="36"/>
          <w:szCs w:val="36"/>
        </w:rPr>
        <w:t>项目需求</w:t>
      </w:r>
    </w:p>
    <w:p>
      <w:pPr>
        <w:snapToGrid w:val="0"/>
        <w:spacing w:line="480" w:lineRule="exact"/>
        <w:ind w:firstLine="482" w:firstLineChars="200"/>
        <w:contextualSpacing/>
        <w:rPr>
          <w:b/>
          <w:kern w:val="0"/>
          <w:sz w:val="24"/>
          <w:highlight w:val="none"/>
          <w:lang w:val="zh-CN"/>
        </w:rPr>
      </w:pPr>
      <w:r>
        <w:rPr>
          <w:b/>
          <w:kern w:val="0"/>
          <w:sz w:val="24"/>
          <w:highlight w:val="none"/>
          <w:lang w:val="zh-CN"/>
        </w:rPr>
        <w:t>请供应商在制作相应文件时仔细研究项目需求说明。</w:t>
      </w:r>
      <w:bookmarkStart w:id="2" w:name="_GoBack"/>
      <w:bookmarkEnd w:id="2"/>
    </w:p>
    <w:p>
      <w:pPr>
        <w:numPr>
          <w:ilvl w:val="0"/>
          <w:numId w:val="1"/>
        </w:numPr>
        <w:autoSpaceDE w:val="0"/>
        <w:autoSpaceDN w:val="0"/>
        <w:adjustRightInd w:val="0"/>
        <w:spacing w:before="156" w:beforeLines="50" w:after="156" w:afterLines="50" w:line="360" w:lineRule="auto"/>
        <w:ind w:left="240" w:leftChars="0" w:firstLine="480" w:firstLineChars="0"/>
        <w:rPr>
          <w:rFonts w:hint="eastAsia" w:ascii="宋体" w:hAnsi="宋体" w:cs="仿宋"/>
          <w:bCs/>
          <w:sz w:val="24"/>
          <w:szCs w:val="24"/>
          <w:lang w:val="en-US" w:eastAsia="zh-CN"/>
        </w:rPr>
      </w:pPr>
      <w:r>
        <w:rPr>
          <w:rFonts w:hint="eastAsia" w:ascii="宋体" w:hAnsi="宋体" w:cs="仿宋"/>
          <w:bCs/>
          <w:sz w:val="24"/>
          <w:szCs w:val="24"/>
          <w:lang w:val="en-US" w:eastAsia="zh-CN"/>
        </w:rPr>
        <w:t>有关说明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before="156" w:beforeLines="50" w:after="156" w:afterLines="50" w:line="360" w:lineRule="auto"/>
        <w:ind w:firstLine="480" w:firstLineChars="200"/>
        <w:rPr>
          <w:rFonts w:hint="eastAsia" w:ascii="宋体" w:hAnsi="宋体" w:cs="仿宋" w:eastAsiaTheme="minorEastAsia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仿宋"/>
          <w:bCs/>
          <w:sz w:val="24"/>
          <w:szCs w:val="24"/>
          <w:lang w:val="en-US" w:eastAsia="zh-CN"/>
        </w:rPr>
        <w:t>产品必须是全新、未使用过的合格产品，必须满足采购文件规定的质量、规格和性能的要求，达到国家或行业规定的标准。</w:t>
      </w:r>
      <w:r>
        <w:rPr>
          <w:rFonts w:hint="eastAsia" w:ascii="宋体" w:hAnsi="宋体" w:cs="仿宋" w:eastAsiaTheme="minorEastAsia"/>
          <w:b w:val="0"/>
          <w:bCs/>
          <w:kern w:val="2"/>
          <w:sz w:val="24"/>
          <w:szCs w:val="24"/>
          <w:lang w:val="en-US" w:eastAsia="zh-CN" w:bidi="ar-SA"/>
        </w:rPr>
        <w:t>所有的产品必须符合国家和地方有关部门颁布的最新的法规、条例、规范、标准﹑施工准则。</w:t>
      </w:r>
    </w:p>
    <w:p>
      <w:pPr>
        <w:pStyle w:val="2"/>
        <w:ind w:left="0" w:leftChars="0" w:firstLine="482" w:firstLineChars="200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采购标的数量、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zh-CN"/>
        </w:rPr>
        <w:t>规格、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项目交付或者实施的时间和地点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采购清单</w:t>
      </w:r>
    </w:p>
    <w:tbl>
      <w:tblPr>
        <w:tblStyle w:val="9"/>
        <w:tblW w:w="54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105"/>
        <w:gridCol w:w="3151"/>
        <w:gridCol w:w="876"/>
        <w:gridCol w:w="756"/>
        <w:gridCol w:w="876"/>
        <w:gridCol w:w="1072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0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品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称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仿宋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规格型号   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规格型号只是最低标准，供应商可以提供等于或者高于此要求的产品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）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单位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数量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限价单价（元）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限价合价（元）</w:t>
            </w:r>
          </w:p>
        </w:tc>
        <w:tc>
          <w:tcPr>
            <w:tcW w:w="45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0" w:type="pct"/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bookmarkStart w:id="0" w:name="_Hlk8269696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便携玻璃碗三件套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vertAlign w:val="baseline"/>
                <w:lang w:eastAsia="zh-CN"/>
              </w:rPr>
              <w:t>可微波加热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玻璃材质：高白料钠钙玻璃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盖：食品级PP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密封圈--硅胶树脂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2000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50000</w:t>
            </w:r>
          </w:p>
        </w:tc>
        <w:tc>
          <w:tcPr>
            <w:tcW w:w="459" w:type="pct"/>
            <w:vMerge w:val="restart"/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jc w:val="left"/>
              <w:textAlignment w:val="baseline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  <w:lang w:eastAsia="zh-CN"/>
              </w:rPr>
              <w:t>所列产品需定制logo（具体样式待中标之后与科室沟通）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290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便携指甲剪套装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材  质：碳钢不锈钢电镀+ABS+彩盒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工  具：平口指甲刀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 xml:space="preserve"> 斜口指甲刀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 xml:space="preserve"> 螺旋耳挖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2000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40000</w:t>
            </w:r>
          </w:p>
        </w:tc>
        <w:tc>
          <w:tcPr>
            <w:tcW w:w="459" w:type="pct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0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手持充电风扇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其他说明：带保护板/配usb线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 xml:space="preserve">        带底座手机支架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3000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60000</w:t>
            </w:r>
          </w:p>
        </w:tc>
        <w:tc>
          <w:tcPr>
            <w:tcW w:w="459" w:type="pct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0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合一手机数据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线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线材工艺：尼龙编织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充电电流：2.4A（MAX）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三合一设计适用苹果、Type-C、Micro接口，铝合金+加固TPE接头，高密尼龙编织，更牢固耐用，极速快充2.4A（MAX），三接头智能分配电流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根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2000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30000</w:t>
            </w:r>
          </w:p>
        </w:tc>
        <w:tc>
          <w:tcPr>
            <w:tcW w:w="459" w:type="pct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0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双杆伸缩桌面支架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材质：ABS+硅胶防滑垫+EVA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·可折叠方便携带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·多角度调节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·双杆自由升降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·支撑力大，金属质感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·硅胶垫防滑垫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2000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30000</w:t>
            </w:r>
          </w:p>
        </w:tc>
        <w:tc>
          <w:tcPr>
            <w:tcW w:w="459" w:type="pct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0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599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食品级不锈钢餐具4件套</w:t>
            </w:r>
          </w:p>
        </w:tc>
        <w:tc>
          <w:tcPr>
            <w:tcW w:w="1709" w:type="pct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叉、筷子、主餐勺、甜品勺</w:t>
            </w:r>
          </w:p>
          <w:p>
            <w:pPr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食品级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不锈钢材质，≥国标1.0mm；加厚材料</w:t>
            </w:r>
          </w:p>
          <w:p>
            <w:pPr>
              <w:pStyle w:val="2"/>
              <w:rPr>
                <w:rFonts w:hint="eastAsia"/>
              </w:rPr>
            </w:pP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2000</w:t>
            </w:r>
          </w:p>
        </w:tc>
        <w:tc>
          <w:tcPr>
            <w:tcW w:w="474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40000</w:t>
            </w:r>
          </w:p>
        </w:tc>
        <w:tc>
          <w:tcPr>
            <w:tcW w:w="459" w:type="pct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59" w:type="pct"/>
            <w:gridSpan w:val="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限价总价</w:t>
            </w:r>
          </w:p>
        </w:tc>
        <w:tc>
          <w:tcPr>
            <w:tcW w:w="581" w:type="pct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250000</w:t>
            </w:r>
          </w:p>
        </w:tc>
        <w:tc>
          <w:tcPr>
            <w:tcW w:w="459" w:type="pct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pStyle w:val="6"/>
        <w:rPr>
          <w:highlight w:val="none"/>
          <w:lang w:val="zh-CN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440" w:lineRule="exact"/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bookmarkStart w:id="1" w:name="_Toc15462984"/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注：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供应商须对各货物进行单价报价且报价（单价和合价）须不高于最高投标限价，否则作为无效标处理；</w:t>
      </w:r>
    </w:p>
    <w:bookmarkEnd w:id="1"/>
    <w:p>
      <w:pPr>
        <w:numPr>
          <w:ilvl w:val="0"/>
          <w:numId w:val="0"/>
        </w:numPr>
        <w:ind w:left="720" w:leftChars="0"/>
        <w:rPr>
          <w:rFonts w:hint="eastAsia" w:ascii="宋体" w:hAnsi="宋体" w:cs="宋体"/>
          <w:b/>
          <w:bCs/>
          <w:color w:val="auto"/>
          <w:highlight w:val="none"/>
        </w:rPr>
      </w:pPr>
      <w:r>
        <w:rPr>
          <w:rFonts w:hint="eastAsia" w:ascii="宋体" w:hAnsi="宋体" w:cs="宋体"/>
          <w:b/>
          <w:bCs/>
          <w:color w:val="auto"/>
          <w:highlight w:val="none"/>
          <w:lang w:eastAsia="zh-CN"/>
        </w:rPr>
        <w:t>三、</w:t>
      </w:r>
      <w:r>
        <w:rPr>
          <w:rFonts w:hint="eastAsia" w:ascii="宋体" w:hAnsi="宋体" w:cs="宋体"/>
          <w:b/>
          <w:bCs/>
          <w:color w:val="auto"/>
          <w:highlight w:val="none"/>
        </w:rPr>
        <w:t>样品清单及要求</w:t>
      </w:r>
    </w:p>
    <w:tbl>
      <w:tblPr>
        <w:tblStyle w:val="9"/>
        <w:tblW w:w="32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2881"/>
        <w:gridCol w:w="1074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品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称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单位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681" w:type="pct"/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便携玻璃碗三件套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6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便携指甲剪套装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6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手持充电风扇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6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合一手机数据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线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根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6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  <w:t>双杆伸缩桌面支架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681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256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食品级不锈钢餐具4件套</w:t>
            </w:r>
          </w:p>
        </w:tc>
        <w:tc>
          <w:tcPr>
            <w:tcW w:w="956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套</w:t>
            </w:r>
          </w:p>
        </w:tc>
        <w:tc>
          <w:tcPr>
            <w:tcW w:w="79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</w:tr>
    </w:tbl>
    <w:p>
      <w:pPr>
        <w:pStyle w:val="11"/>
        <w:numPr>
          <w:ilvl w:val="0"/>
          <w:numId w:val="2"/>
        </w:numPr>
        <w:ind w:left="0"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在递交响应文件截止时间前，响应供应商须将响应文件要求的样品与投标文件一同递交；样品需有序摆放整齐。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u w:val="double" w:color="FF0000"/>
          <w:lang w:val="en-US" w:eastAsia="zh-CN"/>
        </w:rPr>
      </w:pPr>
      <w:r>
        <w:rPr>
          <w:rFonts w:hint="eastAsia" w:ascii="宋体" w:hAnsi="宋体" w:cs="仿宋"/>
          <w:bCs/>
          <w:szCs w:val="21"/>
          <w:u w:val="none" w:color="auto"/>
        </w:rPr>
        <w:t>2、</w:t>
      </w:r>
      <w:r>
        <w:rPr>
          <w:rFonts w:hint="eastAsia" w:ascii="宋体" w:hAnsi="宋体" w:cs="仿宋"/>
          <w:bCs/>
          <w:szCs w:val="21"/>
          <w:u w:val="double" w:color="FF0000"/>
        </w:rPr>
        <w:t>样品要求：所有样品</w:t>
      </w:r>
      <w:r>
        <w:rPr>
          <w:rFonts w:hint="eastAsia" w:ascii="宋体" w:hAnsi="宋体" w:cs="仿宋"/>
          <w:bCs/>
          <w:szCs w:val="21"/>
          <w:u w:val="double" w:color="FF0000"/>
          <w:lang w:eastAsia="zh-CN"/>
        </w:rPr>
        <w:t>及外包装</w:t>
      </w:r>
      <w:r>
        <w:rPr>
          <w:rFonts w:hint="eastAsia" w:ascii="宋体" w:hAnsi="宋体" w:cs="仿宋"/>
          <w:bCs/>
          <w:szCs w:val="21"/>
          <w:u w:val="double" w:color="FF0000"/>
        </w:rPr>
        <w:t>不能出现投标供应商的任何标志、标记如：品牌、制造商、型号等，否则作为无效投标处理。</w:t>
      </w:r>
    </w:p>
    <w:p>
      <w:pPr>
        <w:pStyle w:val="11"/>
        <w:ind w:left="0"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3、在评标结束后，未中标人的样品自行运回，费用自行承担。</w:t>
      </w:r>
    </w:p>
    <w:p>
      <w:pPr>
        <w:pStyle w:val="11"/>
        <w:ind w:left="0"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4、响应供应商的样品若中标，样品当场进行封样，作为履约验收的标准，若最终采购的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物品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与投标时提供的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样品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不符，采购人有权取消其中标资格，造成的一切后果由成交供应商承担。</w:t>
      </w:r>
    </w:p>
    <w:p>
      <w:pPr>
        <w:pStyle w:val="11"/>
        <w:ind w:left="0" w:firstLine="0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、商务要求</w:t>
      </w:r>
    </w:p>
    <w:p>
      <w:pPr>
        <w:pStyle w:val="11"/>
        <w:ind w:left="0" w:firstLine="480" w:firstLineChars="200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1.供货期：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合同签订后7日完成供货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440" w:lineRule="exact"/>
        <w:ind w:firstLine="482" w:firstLineChars="200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供货地点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采购人指定地点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>
      <w:pPr>
        <w:spacing w:line="480" w:lineRule="exact"/>
        <w:ind w:firstLine="482" w:firstLineChars="200"/>
        <w:rPr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b/>
          <w:sz w:val="24"/>
          <w:szCs w:val="24"/>
          <w:highlight w:val="none"/>
        </w:rPr>
        <w:t>、</w:t>
      </w:r>
      <w:r>
        <w:rPr>
          <w:b/>
          <w:sz w:val="24"/>
          <w:szCs w:val="24"/>
          <w:highlight w:val="none"/>
        </w:rPr>
        <w:t>产品验收标准及要求</w:t>
      </w:r>
    </w:p>
    <w:p>
      <w:pPr>
        <w:spacing w:line="480" w:lineRule="exact"/>
        <w:ind w:firstLine="480" w:firstLineChars="200"/>
        <w:rPr>
          <w:u w:val="double" w:color="FF0000"/>
        </w:rPr>
      </w:pPr>
      <w:r>
        <w:rPr>
          <w:sz w:val="24"/>
          <w:szCs w:val="24"/>
          <w:highlight w:val="none"/>
          <w:u w:val="double" w:color="FF0000"/>
        </w:rPr>
        <w:t>（1）成交供应商按采购人要求</w:t>
      </w:r>
      <w:r>
        <w:rPr>
          <w:rFonts w:hint="eastAsia"/>
          <w:sz w:val="24"/>
          <w:szCs w:val="24"/>
          <w:highlight w:val="none"/>
          <w:u w:val="double" w:color="FF0000"/>
        </w:rPr>
        <w:t>提供货物</w:t>
      </w:r>
      <w:r>
        <w:rPr>
          <w:rFonts w:hint="eastAsia"/>
          <w:sz w:val="24"/>
          <w:szCs w:val="24"/>
          <w:u w:val="double" w:color="FF0000"/>
          <w:lang w:eastAsia="zh-CN"/>
        </w:rPr>
        <w:t>并根据要求定制logo（具体待中标之后与科室沟通）</w:t>
      </w:r>
      <w:r>
        <w:rPr>
          <w:rFonts w:hint="eastAsia"/>
          <w:color w:val="000000"/>
          <w:sz w:val="24"/>
          <w:highlight w:val="none"/>
          <w:u w:val="double" w:color="FF0000"/>
        </w:rPr>
        <w:t>，</w:t>
      </w:r>
      <w:r>
        <w:rPr>
          <w:sz w:val="24"/>
          <w:szCs w:val="24"/>
          <w:highlight w:val="none"/>
          <w:u w:val="double" w:color="FF0000"/>
        </w:rPr>
        <w:t>交付甲方正常使用。</w:t>
      </w:r>
    </w:p>
    <w:p>
      <w:pPr>
        <w:spacing w:line="480" w:lineRule="exact"/>
        <w:ind w:firstLine="480" w:firstLineChars="200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（2）供应商交付的货物应当完全符合</w:t>
      </w:r>
      <w:r>
        <w:rPr>
          <w:rFonts w:hint="eastAsia"/>
          <w:sz w:val="24"/>
          <w:szCs w:val="24"/>
          <w:highlight w:val="none"/>
          <w:lang w:eastAsia="zh-CN"/>
        </w:rPr>
        <w:t>采购文件</w:t>
      </w:r>
      <w:r>
        <w:rPr>
          <w:sz w:val="24"/>
          <w:szCs w:val="24"/>
          <w:highlight w:val="none"/>
        </w:rPr>
        <w:t>所规定的货物、数量和规格要求</w:t>
      </w:r>
      <w:r>
        <w:rPr>
          <w:rFonts w:hint="eastAsia"/>
          <w:sz w:val="24"/>
          <w:szCs w:val="24"/>
          <w:highlight w:val="none"/>
        </w:rPr>
        <w:t>，同时不得低于投标样品的技术规格。</w:t>
      </w:r>
    </w:p>
    <w:p>
      <w:pPr>
        <w:spacing w:line="480" w:lineRule="exact"/>
        <w:ind w:firstLine="480" w:firstLineChars="200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（3）货物的到货验收包括：规格、数量、外观质量及货物包装是否完好。</w:t>
      </w:r>
    </w:p>
    <w:p>
      <w:pPr>
        <w:spacing w:line="480" w:lineRule="exact"/>
        <w:ind w:firstLine="480" w:firstLineChars="200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（4）供应商应将所提供货物的装箱清单、用户手册、保修卡等交付给使用方；</w:t>
      </w:r>
    </w:p>
    <w:p>
      <w:pPr>
        <w:spacing w:line="480" w:lineRule="exact"/>
        <w:ind w:firstLine="480" w:firstLineChars="200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（5）收货单位应在货物</w:t>
      </w:r>
      <w:r>
        <w:rPr>
          <w:rFonts w:hint="eastAsia"/>
          <w:sz w:val="24"/>
          <w:szCs w:val="24"/>
          <w:highlight w:val="none"/>
        </w:rPr>
        <w:t>交付</w:t>
      </w:r>
      <w:r>
        <w:rPr>
          <w:sz w:val="24"/>
          <w:szCs w:val="24"/>
          <w:highlight w:val="none"/>
        </w:rPr>
        <w:t>后的</w:t>
      </w:r>
      <w:r>
        <w:rPr>
          <w:rFonts w:hint="eastAsia"/>
          <w:sz w:val="24"/>
          <w:szCs w:val="24"/>
          <w:highlight w:val="none"/>
        </w:rPr>
        <w:t>7</w:t>
      </w:r>
      <w:r>
        <w:rPr>
          <w:sz w:val="24"/>
          <w:szCs w:val="24"/>
          <w:highlight w:val="none"/>
        </w:rPr>
        <w:t>个工作日内进行验收。验收合格的，由收货单位签署验收单。</w:t>
      </w:r>
    </w:p>
    <w:p>
      <w:pPr>
        <w:spacing w:line="480" w:lineRule="exact"/>
        <w:ind w:firstLine="480" w:firstLineChars="200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（6）货物验收的标准：按甲方需求并符合行业通行标准、厂方出厂标准和乙方响应文件的承诺。</w:t>
      </w:r>
    </w:p>
    <w:p>
      <w:pPr>
        <w:spacing w:line="480" w:lineRule="exact"/>
        <w:ind w:firstLine="480" w:firstLineChars="200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（7）货物到货验收时成交供应商代表必须在场，并提供产品合格证、质量保证文件等相关证明材料。</w:t>
      </w:r>
      <w:r>
        <w:rPr>
          <w:rFonts w:hint="eastAsia"/>
          <w:sz w:val="24"/>
          <w:szCs w:val="24"/>
          <w:highlight w:val="none"/>
        </w:rPr>
        <w:t>全部货物到货</w:t>
      </w:r>
      <w:r>
        <w:rPr>
          <w:rFonts w:hint="eastAsia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sz w:val="24"/>
          <w:szCs w:val="24"/>
          <w:highlight w:val="none"/>
        </w:rPr>
        <w:t>天后，采购人有权将货品抽样送检测机构检测，检测结果合格的，检测费用由采购人支付，否则，检测费用由成交供应商支付；如检测结果不合格，按采购合同有关规定执行。</w:t>
      </w:r>
    </w:p>
    <w:p>
      <w:pPr>
        <w:spacing w:line="480" w:lineRule="exact"/>
        <w:ind w:firstLine="482" w:firstLineChars="200"/>
        <w:rPr>
          <w:rFonts w:hint="eastAsia"/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4</w:t>
      </w:r>
      <w:r>
        <w:rPr>
          <w:rFonts w:hint="eastAsia"/>
          <w:b/>
          <w:sz w:val="24"/>
          <w:szCs w:val="24"/>
          <w:highlight w:val="none"/>
        </w:rPr>
        <w:t>、售后服务</w:t>
      </w:r>
      <w:r>
        <w:rPr>
          <w:b/>
          <w:sz w:val="24"/>
          <w:szCs w:val="24"/>
          <w:highlight w:val="none"/>
        </w:rPr>
        <w:t>：</w:t>
      </w:r>
    </w:p>
    <w:p>
      <w:pPr>
        <w:spacing w:line="480" w:lineRule="exact"/>
        <w:ind w:firstLine="480" w:firstLineChars="200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质保期：国家有强制性规定的，不低于强制规定标准，无强制规定的不低于3个月</w:t>
      </w:r>
      <w:r>
        <w:rPr>
          <w:sz w:val="24"/>
          <w:highlight w:val="none"/>
        </w:rPr>
        <w:t>（自验收合格之日起算）</w:t>
      </w:r>
      <w:r>
        <w:rPr>
          <w:rFonts w:hint="eastAsia"/>
          <w:sz w:val="24"/>
          <w:szCs w:val="24"/>
          <w:highlight w:val="none"/>
        </w:rPr>
        <w:t>，质保期内成交供应商应按不低于国家法律、法规规定的、货物保修证书及其他资料载明的内容提供质保服务，质保期内的所有服务及产生的费用均由成交供应商承担。</w:t>
      </w:r>
    </w:p>
    <w:p>
      <w:pPr>
        <w:spacing w:line="480" w:lineRule="exact"/>
        <w:ind w:firstLine="446" w:firstLineChars="185"/>
        <w:rPr>
          <w:rFonts w:hint="eastAsia"/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5</w:t>
      </w:r>
      <w:r>
        <w:rPr>
          <w:b/>
          <w:sz w:val="24"/>
          <w:szCs w:val="24"/>
          <w:highlight w:val="none"/>
        </w:rPr>
        <w:t>、</w:t>
      </w:r>
      <w:r>
        <w:rPr>
          <w:rFonts w:hint="eastAsia"/>
          <w:b/>
          <w:sz w:val="24"/>
          <w:szCs w:val="24"/>
          <w:highlight w:val="none"/>
        </w:rPr>
        <w:t>报价</w:t>
      </w:r>
      <w:r>
        <w:rPr>
          <w:b/>
          <w:sz w:val="24"/>
          <w:szCs w:val="24"/>
          <w:highlight w:val="none"/>
        </w:rPr>
        <w:t>及支付方式：</w:t>
      </w:r>
    </w:p>
    <w:p>
      <w:pPr>
        <w:spacing w:line="480" w:lineRule="exact"/>
        <w:ind w:firstLine="470" w:firstLineChars="196"/>
        <w:rPr>
          <w:sz w:val="24"/>
          <w:szCs w:val="24"/>
          <w:highlight w:val="none"/>
        </w:rPr>
      </w:pPr>
      <w:r>
        <w:rPr>
          <w:rFonts w:hint="eastAsia"/>
          <w:sz w:val="24"/>
          <w:highlight w:val="none"/>
          <w:lang w:eastAsia="zh-CN"/>
        </w:rPr>
        <w:t>（</w:t>
      </w:r>
      <w:r>
        <w:rPr>
          <w:rFonts w:hint="eastAsia"/>
          <w:sz w:val="24"/>
          <w:highlight w:val="none"/>
          <w:lang w:val="en-US" w:eastAsia="zh-CN"/>
        </w:rPr>
        <w:t>1</w:t>
      </w:r>
      <w:r>
        <w:rPr>
          <w:rFonts w:hint="eastAsia"/>
          <w:sz w:val="24"/>
          <w:highlight w:val="none"/>
          <w:lang w:eastAsia="zh-CN"/>
        </w:rPr>
        <w:t>）</w:t>
      </w:r>
      <w:r>
        <w:rPr>
          <w:sz w:val="24"/>
          <w:highlight w:val="none"/>
        </w:rPr>
        <w:t>供应商</w:t>
      </w:r>
      <w:r>
        <w:rPr>
          <w:sz w:val="24"/>
          <w:szCs w:val="24"/>
          <w:highlight w:val="none"/>
        </w:rPr>
        <w:t>以人民币报价，价格包括但不限于货物价格、运输费（含保险费）、装卸费、检测验收费、售后服务费以及与本项目有关的所有税、费；采购人无须另向成交供应商支付其他任何费用。</w:t>
      </w:r>
    </w:p>
    <w:p>
      <w:pPr>
        <w:spacing w:line="540" w:lineRule="exact"/>
        <w:ind w:firstLine="444" w:firstLineChars="185"/>
        <w:rPr>
          <w:rFonts w:hint="eastAsia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Times New Roman"/>
          <w:sz w:val="24"/>
          <w:szCs w:val="24"/>
          <w:highlight w:val="none"/>
        </w:rPr>
        <w:t>货到验收合格后一次性付清货款</w:t>
      </w:r>
      <w:r>
        <w:rPr>
          <w:rFonts w:hint="eastAsia"/>
          <w:sz w:val="24"/>
          <w:szCs w:val="24"/>
          <w:highlight w:val="none"/>
        </w:rPr>
        <w:t>。款项由采购单位按相关财务支付规定办理支付手续。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ind w:leftChars="200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五、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其他要求：</w:t>
      </w:r>
    </w:p>
    <w:p>
      <w:pPr>
        <w:autoSpaceDE w:val="0"/>
        <w:autoSpaceDN w:val="0"/>
        <w:adjustRightInd w:val="0"/>
        <w:spacing w:before="156" w:beforeLines="50" w:after="156" w:afterLines="50" w:line="360" w:lineRule="auto"/>
        <w:ind w:firstLine="480" w:firstLineChars="200"/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1.</w:t>
      </w:r>
      <w:r>
        <w:rPr>
          <w:rFonts w:hint="eastAsia" w:ascii="宋体" w:hAnsi="宋体" w:cs="仿宋"/>
          <w:szCs w:val="21"/>
          <w:lang w:eastAsia="zh-CN"/>
        </w:rPr>
        <w:t>成交供应商</w:t>
      </w:r>
      <w:r>
        <w:rPr>
          <w:rFonts w:hint="eastAsia" w:ascii="宋体" w:hAnsi="宋体" w:cs="仿宋"/>
          <w:szCs w:val="21"/>
        </w:rPr>
        <w:t>应保证，</w:t>
      </w:r>
      <w:r>
        <w:rPr>
          <w:rFonts w:hint="eastAsia" w:ascii="宋体" w:hAnsi="宋体" w:cs="仿宋"/>
          <w:szCs w:val="21"/>
          <w:lang w:eastAsia="zh-CN"/>
        </w:rPr>
        <w:t>采购人</w:t>
      </w:r>
      <w:r>
        <w:rPr>
          <w:rFonts w:hint="eastAsia" w:ascii="宋体" w:hAnsi="宋体" w:cs="仿宋"/>
          <w:szCs w:val="21"/>
        </w:rPr>
        <w:t>在中华人民共和国使用该产品任何一部分时，免受第三方提出的侵犯其专利权、商标权或其他知识产权的起诉。如发生此类纠纷，由</w:t>
      </w:r>
      <w:r>
        <w:rPr>
          <w:rFonts w:hint="eastAsia" w:ascii="宋体" w:hAnsi="宋体" w:cs="仿宋"/>
          <w:szCs w:val="21"/>
          <w:lang w:eastAsia="zh-CN"/>
        </w:rPr>
        <w:t>成交供应商</w:t>
      </w:r>
      <w:r>
        <w:rPr>
          <w:rFonts w:hint="eastAsia" w:ascii="宋体" w:hAnsi="宋体" w:cs="仿宋"/>
          <w:szCs w:val="21"/>
        </w:rPr>
        <w:t>承担一切责任。</w:t>
      </w:r>
      <w:r>
        <w:rPr>
          <w:rFonts w:hint="eastAsia" w:ascii="宋体" w:hAnsi="宋体" w:cs="仿宋"/>
          <w:szCs w:val="21"/>
          <w:lang w:eastAsia="zh-CN"/>
        </w:rPr>
        <w:t>成交供应商</w:t>
      </w:r>
      <w:r>
        <w:rPr>
          <w:rFonts w:hint="eastAsia" w:ascii="宋体" w:hAnsi="宋体" w:cs="仿宋"/>
          <w:szCs w:val="21"/>
        </w:rPr>
        <w:t>为执行本合同而提供的技术资料的使用权归</w:t>
      </w:r>
      <w:r>
        <w:rPr>
          <w:rFonts w:hint="eastAsia" w:ascii="宋体" w:hAnsi="宋体" w:cs="仿宋"/>
          <w:szCs w:val="21"/>
          <w:lang w:eastAsia="zh-CN"/>
        </w:rPr>
        <w:t>采购人</w:t>
      </w:r>
      <w:r>
        <w:rPr>
          <w:rFonts w:hint="eastAsia" w:ascii="宋体" w:hAnsi="宋体" w:cs="仿宋"/>
          <w:szCs w:val="21"/>
        </w:rPr>
        <w:t>所有。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3907E8"/>
    <w:multiLevelType w:val="singleLevel"/>
    <w:tmpl w:val="A13907E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6CAC1BD"/>
    <w:multiLevelType w:val="singleLevel"/>
    <w:tmpl w:val="D6CAC1BD"/>
    <w:lvl w:ilvl="0" w:tentative="0">
      <w:start w:val="1"/>
      <w:numFmt w:val="chineseCounting"/>
      <w:suff w:val="nothing"/>
      <w:lvlText w:val="%1、"/>
      <w:lvlJc w:val="left"/>
      <w:pPr>
        <w:ind w:left="24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OTU0NzRmNzBkNTY1OWJjNTlmN2QzZWRjNjRjNjMifQ=="/>
  </w:docVars>
  <w:rsids>
    <w:rsidRoot w:val="00000000"/>
    <w:rsid w:val="01896C15"/>
    <w:rsid w:val="11791570"/>
    <w:rsid w:val="14AC1CDE"/>
    <w:rsid w:val="28C84A39"/>
    <w:rsid w:val="2B5F1011"/>
    <w:rsid w:val="30E24F33"/>
    <w:rsid w:val="3A9F6F42"/>
    <w:rsid w:val="58ED24E6"/>
    <w:rsid w:val="649E6F69"/>
    <w:rsid w:val="690F2E4A"/>
    <w:rsid w:val="6CA77D95"/>
    <w:rsid w:val="7F16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Theme="minorAscii" w:hAnsiTheme="minorAscii" w:eastAsiaTheme="minorEastAsia" w:cstheme="minorBidi"/>
      <w:kern w:val="2"/>
      <w:sz w:val="24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  <w:rPr>
      <w:lang w:val="en-US" w:eastAsia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6">
    <w:name w:val="Body Text"/>
    <w:basedOn w:val="1"/>
    <w:next w:val="7"/>
    <w:qFormat/>
    <w:uiPriority w:val="1"/>
    <w:pPr>
      <w:ind w:left="102"/>
    </w:pPr>
    <w:rPr>
      <w:rFonts w:ascii="仿宋" w:hAnsi="仿宋" w:eastAsia="仿宋"/>
      <w:sz w:val="28"/>
      <w:szCs w:val="28"/>
    </w:rPr>
  </w:style>
  <w:style w:type="paragraph" w:customStyle="1" w:styleId="7">
    <w:name w:val="style4"/>
    <w:basedOn w:val="1"/>
    <w:next w:val="8"/>
    <w:qFormat/>
    <w:uiPriority w:val="0"/>
    <w:pPr>
      <w:widowControl/>
      <w:spacing w:before="280" w:after="280"/>
    </w:pPr>
    <w:rPr>
      <w:rFonts w:ascii="宋体"/>
      <w:sz w:val="18"/>
    </w:rPr>
  </w:style>
  <w:style w:type="paragraph" w:customStyle="1" w:styleId="8">
    <w:name w:val="2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1">
    <w:name w:val="正文1_1"/>
    <w:basedOn w:val="12"/>
    <w:qFormat/>
    <w:uiPriority w:val="0"/>
    <w:pPr>
      <w:widowControl/>
      <w:spacing w:line="360" w:lineRule="auto"/>
      <w:ind w:left="357" w:firstLine="420"/>
      <w:jc w:val="left"/>
    </w:pPr>
    <w:rPr>
      <w:rFonts w:cs="Arial"/>
      <w:szCs w:val="20"/>
    </w:rPr>
  </w:style>
  <w:style w:type="paragraph" w:customStyle="1" w:styleId="12">
    <w:name w:val="正文_3"/>
    <w:next w:val="1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2022-11-22T07:04:00Z</dcterms:created>
  <dc:creator>Administrator</dc:creator>
  <cp:lastModifiedBy>LIUFAN</cp:lastModifiedBy>
  <dcterms:modified xsi:type="dcterms:W3CDTF">2023-05-10T10:04:21Z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ED1D297242284B21898DD272B74FB1D9</vt:lpwstr>
  </property>
</Properties>
</file>